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70B85" w:rsidRPr="00E70B85" w:rsidTr="00E70B85">
        <w:trPr>
          <w:tblCellSpacing w:w="0" w:type="dxa"/>
        </w:trPr>
        <w:tc>
          <w:tcPr>
            <w:tcW w:w="3348" w:type="dxa"/>
            <w:shd w:val="clear" w:color="auto" w:fill="FFFFFF"/>
            <w:tcMar>
              <w:top w:w="0" w:type="dxa"/>
              <w:left w:w="108" w:type="dxa"/>
              <w:bottom w:w="0" w:type="dxa"/>
              <w:right w:w="108" w:type="dxa"/>
            </w:tcMar>
            <w:hideMark/>
          </w:tcPr>
          <w:p w:rsidR="00E70B85" w:rsidRPr="00E70B85" w:rsidRDefault="00E70B85" w:rsidP="00E70B85">
            <w:pPr>
              <w:spacing w:before="120" w:after="120" w:line="234" w:lineRule="atLeast"/>
              <w:jc w:val="center"/>
              <w:rPr>
                <w:rFonts w:ascii="Times New Roman" w:eastAsia="Times New Roman" w:hAnsi="Times New Roman" w:cs="Times New Roman"/>
                <w:color w:val="000000"/>
                <w:sz w:val="28"/>
                <w:szCs w:val="28"/>
              </w:rPr>
            </w:pPr>
            <w:r w:rsidRPr="00E70B85">
              <w:rPr>
                <w:rFonts w:ascii="Times New Roman" w:eastAsia="Times New Roman" w:hAnsi="Times New Roman" w:cs="Times New Roman"/>
                <w:b/>
                <w:bCs/>
                <w:color w:val="000000"/>
                <w:sz w:val="28"/>
                <w:szCs w:val="28"/>
              </w:rPr>
              <w:t>BỘ VĂN HOÁ, THỂ THAO </w:t>
            </w:r>
            <w:r w:rsidRPr="00E70B85">
              <w:rPr>
                <w:rFonts w:ascii="Times New Roman" w:eastAsia="Times New Roman" w:hAnsi="Times New Roman" w:cs="Times New Roman"/>
                <w:b/>
                <w:bCs/>
                <w:color w:val="000000"/>
                <w:sz w:val="28"/>
                <w:szCs w:val="28"/>
              </w:rPr>
              <w:br/>
              <w:t>VÀ DU LỊCH</w:t>
            </w:r>
            <w:r w:rsidRPr="00E70B85">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E70B85" w:rsidRPr="00E70B85" w:rsidRDefault="00E70B85" w:rsidP="00E70B85">
            <w:pPr>
              <w:spacing w:before="120" w:after="120" w:line="234" w:lineRule="atLeast"/>
              <w:jc w:val="center"/>
              <w:rPr>
                <w:rFonts w:ascii="Times New Roman" w:eastAsia="Times New Roman" w:hAnsi="Times New Roman" w:cs="Times New Roman"/>
                <w:color w:val="000000"/>
                <w:sz w:val="28"/>
                <w:szCs w:val="28"/>
              </w:rPr>
            </w:pPr>
            <w:r w:rsidRPr="00E70B85">
              <w:rPr>
                <w:rFonts w:ascii="Times New Roman" w:eastAsia="Times New Roman" w:hAnsi="Times New Roman" w:cs="Times New Roman"/>
                <w:b/>
                <w:bCs/>
                <w:color w:val="000000"/>
                <w:sz w:val="28"/>
                <w:szCs w:val="28"/>
              </w:rPr>
              <w:t>CỘNG HÒA XÃ HỘI CHỦ NGHĨA VIỆT NAM</w:t>
            </w:r>
            <w:r w:rsidRPr="00E70B85">
              <w:rPr>
                <w:rFonts w:ascii="Times New Roman" w:eastAsia="Times New Roman" w:hAnsi="Times New Roman" w:cs="Times New Roman"/>
                <w:b/>
                <w:bCs/>
                <w:color w:val="000000"/>
                <w:sz w:val="28"/>
                <w:szCs w:val="28"/>
              </w:rPr>
              <w:br/>
              <w:t>Độc lập - Tự do - Hạnh phúc </w:t>
            </w:r>
            <w:r w:rsidRPr="00E70B85">
              <w:rPr>
                <w:rFonts w:ascii="Times New Roman" w:eastAsia="Times New Roman" w:hAnsi="Times New Roman" w:cs="Times New Roman"/>
                <w:b/>
                <w:bCs/>
                <w:color w:val="000000"/>
                <w:sz w:val="28"/>
                <w:szCs w:val="28"/>
              </w:rPr>
              <w:br/>
              <w:t>---------------</w:t>
            </w:r>
          </w:p>
        </w:tc>
      </w:tr>
      <w:tr w:rsidR="00E70B85" w:rsidRPr="00E70B85" w:rsidTr="00E70B85">
        <w:trPr>
          <w:tblCellSpacing w:w="0" w:type="dxa"/>
        </w:trPr>
        <w:tc>
          <w:tcPr>
            <w:tcW w:w="3348" w:type="dxa"/>
            <w:shd w:val="clear" w:color="auto" w:fill="FFFFFF"/>
            <w:tcMar>
              <w:top w:w="0" w:type="dxa"/>
              <w:left w:w="108" w:type="dxa"/>
              <w:bottom w:w="0" w:type="dxa"/>
              <w:right w:w="108" w:type="dxa"/>
            </w:tcMar>
            <w:hideMark/>
          </w:tcPr>
          <w:p w:rsidR="00E70B85" w:rsidRPr="00E70B85" w:rsidRDefault="00E70B85" w:rsidP="00E70B85">
            <w:pPr>
              <w:spacing w:before="120" w:after="120" w:line="234" w:lineRule="atLeast"/>
              <w:jc w:val="center"/>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Số: 2/2019/TT-BVHTTDL</w:t>
            </w:r>
          </w:p>
        </w:tc>
        <w:tc>
          <w:tcPr>
            <w:tcW w:w="5508" w:type="dxa"/>
            <w:shd w:val="clear" w:color="auto" w:fill="FFFFFF"/>
            <w:tcMar>
              <w:top w:w="0" w:type="dxa"/>
              <w:left w:w="108" w:type="dxa"/>
              <w:bottom w:w="0" w:type="dxa"/>
              <w:right w:w="108" w:type="dxa"/>
            </w:tcMar>
            <w:hideMark/>
          </w:tcPr>
          <w:p w:rsidR="00E70B85" w:rsidRPr="00E70B85" w:rsidRDefault="00E70B85" w:rsidP="00E70B85">
            <w:pPr>
              <w:spacing w:before="120" w:after="120" w:line="234" w:lineRule="atLeast"/>
              <w:jc w:val="right"/>
              <w:rPr>
                <w:rFonts w:ascii="Times New Roman" w:eastAsia="Times New Roman" w:hAnsi="Times New Roman" w:cs="Times New Roman"/>
                <w:color w:val="000000"/>
                <w:sz w:val="28"/>
                <w:szCs w:val="28"/>
              </w:rPr>
            </w:pPr>
            <w:r w:rsidRPr="00E70B85">
              <w:rPr>
                <w:rFonts w:ascii="Times New Roman" w:eastAsia="Times New Roman" w:hAnsi="Times New Roman" w:cs="Times New Roman"/>
                <w:i/>
                <w:iCs/>
                <w:color w:val="000000"/>
                <w:sz w:val="28"/>
                <w:szCs w:val="28"/>
              </w:rPr>
              <w:t>Hà Nội, ngày 05 tháng 07 năm 2019</w:t>
            </w:r>
          </w:p>
        </w:tc>
      </w:tr>
    </w:tbl>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b/>
          <w:bCs/>
          <w:color w:val="000000"/>
          <w:sz w:val="28"/>
          <w:szCs w:val="28"/>
        </w:rPr>
        <w:t> </w:t>
      </w:r>
    </w:p>
    <w:p w:rsidR="00E70B85" w:rsidRPr="00E70B85" w:rsidRDefault="00E70B85" w:rsidP="00E70B85">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E70B85">
        <w:rPr>
          <w:rFonts w:ascii="Times New Roman" w:eastAsia="Times New Roman" w:hAnsi="Times New Roman" w:cs="Times New Roman"/>
          <w:b/>
          <w:bCs/>
          <w:color w:val="000000"/>
          <w:sz w:val="28"/>
          <w:szCs w:val="28"/>
        </w:rPr>
        <w:t>THÔNG TƯ</w:t>
      </w:r>
      <w:bookmarkEnd w:id="0"/>
    </w:p>
    <w:p w:rsidR="00E70B85" w:rsidRPr="00E70B85" w:rsidRDefault="00E70B85" w:rsidP="00E70B85">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E70B85">
        <w:rPr>
          <w:rFonts w:ascii="Times New Roman" w:eastAsia="Times New Roman" w:hAnsi="Times New Roman" w:cs="Times New Roman"/>
          <w:color w:val="000000"/>
          <w:sz w:val="28"/>
          <w:szCs w:val="28"/>
        </w:rPr>
        <w:t>QUY ĐỊNH QUY TRÌNH GIÁM ĐỊNH TƯ PHÁP VỀ QUYỀN TÁC GIẢ, QUYỀN LIÊN QUAN</w:t>
      </w:r>
      <w:bookmarkEnd w:id="1"/>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i/>
          <w:iCs/>
          <w:color w:val="000000"/>
          <w:sz w:val="28"/>
          <w:szCs w:val="28"/>
        </w:rPr>
        <w:t>Căn cứ Luật Giám định tư pháp ngày 20 tháng 6 năm 2012;</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i/>
          <w:iCs/>
          <w:color w:val="000000"/>
          <w:sz w:val="28"/>
          <w:szCs w:val="28"/>
        </w:rPr>
        <w:t>Căn cứ Luật Sở hữu trí tuệ ngày 29 tháng 11 năm 2005 và Luật sửa đổi, bổ sung một số điều của Luật Sở hữu trí tuệ ngày 19 tháng 6 năm 2009;</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85/2013/NĐ-CP </w:t>
      </w:r>
      <w:r w:rsidRPr="00E70B85">
        <w:rPr>
          <w:rFonts w:ascii="Times New Roman" w:eastAsia="Times New Roman" w:hAnsi="Times New Roman" w:cs="Times New Roman"/>
          <w:i/>
          <w:iCs/>
          <w:color w:val="000000"/>
          <w:sz w:val="28"/>
          <w:szCs w:val="28"/>
        </w:rPr>
        <w:t>ngày 29 tháng 7 năm 2013 của Chính phủ quy định chi tiết và biện pháp thi hành Luật Giám định tư pháp;</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105/2006/NĐ-CP </w:t>
      </w:r>
      <w:r w:rsidRPr="00E70B85">
        <w:rPr>
          <w:rFonts w:ascii="Times New Roman" w:eastAsia="Times New Roman" w:hAnsi="Times New Roman" w:cs="Times New Roman"/>
          <w:i/>
          <w:iCs/>
          <w:color w:val="000000"/>
          <w:sz w:val="28"/>
          <w:szCs w:val="28"/>
        </w:rPr>
        <w:t>ngày 22 tháng 9 năm 2006 của Chính phủ quy định chi tiết và hướng dẫn thi hành một số điều của Luật Sở hữu trí tuệ và quản lý nhà nước về sở hữu trí tuệ và Nghị định số </w:t>
      </w:r>
      <w:r>
        <w:rPr>
          <w:rFonts w:ascii="Times New Roman" w:eastAsia="Times New Roman" w:hAnsi="Times New Roman" w:cs="Times New Roman"/>
          <w:i/>
          <w:iCs/>
          <w:color w:val="000000"/>
          <w:sz w:val="28"/>
          <w:szCs w:val="28"/>
        </w:rPr>
        <w:t xml:space="preserve">119/2010/NĐ-CP </w:t>
      </w:r>
      <w:r w:rsidRPr="00E70B85">
        <w:rPr>
          <w:rFonts w:ascii="Times New Roman" w:eastAsia="Times New Roman" w:hAnsi="Times New Roman" w:cs="Times New Roman"/>
          <w:i/>
          <w:iCs/>
          <w:color w:val="000000"/>
          <w:sz w:val="28"/>
          <w:szCs w:val="28"/>
        </w:rPr>
        <w:t>ngày 30 tháng 12 năm 2010 của Chính phủ sửa đổi, bổ sung một số điều của Nghị định số </w:t>
      </w:r>
      <w:r>
        <w:rPr>
          <w:rFonts w:ascii="Times New Roman" w:eastAsia="Times New Roman" w:hAnsi="Times New Roman" w:cs="Times New Roman"/>
          <w:i/>
          <w:iCs/>
          <w:color w:val="000000"/>
          <w:sz w:val="28"/>
          <w:szCs w:val="28"/>
        </w:rPr>
        <w:t xml:space="preserve">105/2006/NĐ-CP </w:t>
      </w:r>
      <w:r w:rsidRPr="00E70B85">
        <w:rPr>
          <w:rFonts w:ascii="Times New Roman" w:eastAsia="Times New Roman" w:hAnsi="Times New Roman" w:cs="Times New Roman"/>
          <w:i/>
          <w:iCs/>
          <w:color w:val="000000"/>
          <w:sz w:val="28"/>
          <w:szCs w:val="28"/>
        </w:rPr>
        <w:t xml:space="preserve"> ngày 22 tháng 9 năm 2006 của Chính phủ quy định chi tiết và hướng dẫn thi hành một số điều của Luật Sở hữu trí tuệ và quản lý nhà nước về sở hữu trí tuệ;</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79/2017/NĐ-CP </w:t>
      </w:r>
      <w:r w:rsidRPr="00E70B85">
        <w:rPr>
          <w:rFonts w:ascii="Times New Roman" w:eastAsia="Times New Roman" w:hAnsi="Times New Roman" w:cs="Times New Roman"/>
          <w:i/>
          <w:iCs/>
          <w:color w:val="000000"/>
          <w:sz w:val="28"/>
          <w:szCs w:val="28"/>
        </w:rPr>
        <w:t>ngày 17 tháng 7 năm 2017 của Chính phủ quy định chức năng, nhiệm vụ quyền hạn và cơ cấu tổ chức của Bộ Văn hóa, Thể thao và Du lịch;</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i/>
          <w:iCs/>
          <w:color w:val="000000"/>
          <w:sz w:val="28"/>
          <w:szCs w:val="28"/>
        </w:rPr>
        <w:t>Theo đề nghị của Vụ trưởng Vụ Pháp chế;</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i/>
          <w:iCs/>
          <w:color w:val="000000"/>
          <w:sz w:val="28"/>
          <w:szCs w:val="28"/>
        </w:rPr>
        <w:t>Bộ trưởng Bộ Văn hóa, Thể thao và Du lịch ban hành Thông tư quy định quy trình giám định tư pháp về quyền tác giả, quyền liên quan.</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E70B85">
        <w:rPr>
          <w:rFonts w:ascii="Times New Roman" w:eastAsia="Times New Roman" w:hAnsi="Times New Roman" w:cs="Times New Roman"/>
          <w:b/>
          <w:bCs/>
          <w:color w:val="000000"/>
          <w:sz w:val="28"/>
          <w:szCs w:val="28"/>
        </w:rPr>
        <w:lastRenderedPageBreak/>
        <w:t>Chương I</w:t>
      </w:r>
      <w:bookmarkEnd w:id="2"/>
    </w:p>
    <w:p w:rsidR="00E70B85" w:rsidRPr="00E70B85" w:rsidRDefault="00E70B85" w:rsidP="00E70B85">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E70B85">
        <w:rPr>
          <w:rFonts w:ascii="Times New Roman" w:eastAsia="Times New Roman" w:hAnsi="Times New Roman" w:cs="Times New Roman"/>
          <w:b/>
          <w:bCs/>
          <w:color w:val="000000"/>
          <w:sz w:val="28"/>
          <w:szCs w:val="28"/>
        </w:rPr>
        <w:t>NHỮNG QUY ĐỊNH CHUNG</w:t>
      </w:r>
      <w:bookmarkEnd w:id="3"/>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E70B85">
        <w:rPr>
          <w:rFonts w:ascii="Times New Roman" w:eastAsia="Times New Roman" w:hAnsi="Times New Roman" w:cs="Times New Roman"/>
          <w:b/>
          <w:bCs/>
          <w:color w:val="000000"/>
          <w:sz w:val="28"/>
          <w:szCs w:val="28"/>
        </w:rPr>
        <w:t>Điều 1. Phạm vi điều chỉnh</w:t>
      </w:r>
      <w:bookmarkEnd w:id="4"/>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bookmarkStart w:id="5" w:name="_GoBack"/>
      <w:r w:rsidRPr="00E70B85">
        <w:rPr>
          <w:rFonts w:ascii="Times New Roman" w:eastAsia="Times New Roman" w:hAnsi="Times New Roman" w:cs="Times New Roman"/>
          <w:color w:val="000000"/>
          <w:sz w:val="28"/>
          <w:szCs w:val="28"/>
        </w:rPr>
        <w:t>Thông tư này quy định quy trình giám định tư pháp về quyền tác giả, quyền liên quan theo trưng cầu của cơ quan tiến hành tố tụng, người tiến hành tố tụng hoặc theo yêu cầu của người yêu cầu giám định tư pháp.</w:t>
      </w:r>
    </w:p>
    <w:p w:rsidR="00E70B85" w:rsidRPr="00E70B85" w:rsidRDefault="00E70B85" w:rsidP="00915164">
      <w:pPr>
        <w:shd w:val="clear" w:color="auto" w:fill="FFFFFF"/>
        <w:tabs>
          <w:tab w:val="left" w:pos="3570"/>
        </w:tabs>
        <w:spacing w:after="0" w:line="234" w:lineRule="atLeast"/>
        <w:rPr>
          <w:rFonts w:ascii="Times New Roman" w:eastAsia="Times New Roman" w:hAnsi="Times New Roman" w:cs="Times New Roman"/>
          <w:color w:val="000000"/>
          <w:sz w:val="28"/>
          <w:szCs w:val="28"/>
        </w:rPr>
      </w:pPr>
      <w:bookmarkStart w:id="6" w:name="dieu_2"/>
      <w:bookmarkEnd w:id="5"/>
      <w:r w:rsidRPr="00E70B85">
        <w:rPr>
          <w:rFonts w:ascii="Times New Roman" w:eastAsia="Times New Roman" w:hAnsi="Times New Roman" w:cs="Times New Roman"/>
          <w:b/>
          <w:bCs/>
          <w:color w:val="000000"/>
          <w:sz w:val="28"/>
          <w:szCs w:val="28"/>
        </w:rPr>
        <w:t>Điều 2. Đối tượng áp dụng</w:t>
      </w:r>
      <w:bookmarkEnd w:id="6"/>
      <w:r w:rsidR="00915164">
        <w:rPr>
          <w:rFonts w:ascii="Times New Roman" w:eastAsia="Times New Roman" w:hAnsi="Times New Roman" w:cs="Times New Roman"/>
          <w:b/>
          <w:bCs/>
          <w:color w:val="000000"/>
          <w:sz w:val="28"/>
          <w:szCs w:val="28"/>
        </w:rPr>
        <w:tab/>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Thông tư này áp dụng đối với người giám định tư pháp, tổ chức giám định tư pháp và các tổ chức, cá nhân khác có liên quan đến giám định tư pháp về quyền tác giả, quyền liên quan.</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E70B85">
        <w:rPr>
          <w:rFonts w:ascii="Times New Roman" w:eastAsia="Times New Roman" w:hAnsi="Times New Roman" w:cs="Times New Roman"/>
          <w:b/>
          <w:bCs/>
          <w:color w:val="000000"/>
          <w:sz w:val="28"/>
          <w:szCs w:val="28"/>
        </w:rPr>
        <w:t>Điều 3. Giải thích từ ngữ</w:t>
      </w:r>
      <w:bookmarkEnd w:id="7"/>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Trong Thông tư này, những từ ngữ dưới đây được hiểu như sau:</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1. </w:t>
      </w:r>
      <w:r w:rsidRPr="00E70B85">
        <w:rPr>
          <w:rFonts w:ascii="Times New Roman" w:eastAsia="Times New Roman" w:hAnsi="Times New Roman" w:cs="Times New Roman"/>
          <w:i/>
          <w:iCs/>
          <w:color w:val="000000"/>
          <w:sz w:val="28"/>
          <w:szCs w:val="28"/>
        </w:rPr>
        <w:t>Quyền tác giả, quyền liên quan </w:t>
      </w:r>
      <w:r w:rsidRPr="00E70B85">
        <w:rPr>
          <w:rFonts w:ascii="Times New Roman" w:eastAsia="Times New Roman" w:hAnsi="Times New Roman" w:cs="Times New Roman"/>
          <w:color w:val="000000"/>
          <w:sz w:val="28"/>
          <w:szCs w:val="28"/>
        </w:rPr>
        <w:t>là quyền được xác định theo quy định của pháp luật về sở hữu trí tuệ.</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2. </w:t>
      </w:r>
      <w:r w:rsidRPr="00E70B85">
        <w:rPr>
          <w:rFonts w:ascii="Times New Roman" w:eastAsia="Times New Roman" w:hAnsi="Times New Roman" w:cs="Times New Roman"/>
          <w:i/>
          <w:iCs/>
          <w:color w:val="000000"/>
          <w:sz w:val="28"/>
          <w:szCs w:val="28"/>
        </w:rPr>
        <w:t>Người giám định tư pháp về quyền tác giả, quyền liên quan </w:t>
      </w:r>
      <w:r w:rsidRPr="00E70B85">
        <w:rPr>
          <w:rFonts w:ascii="Times New Roman" w:eastAsia="Times New Roman" w:hAnsi="Times New Roman" w:cs="Times New Roman"/>
          <w:color w:val="000000"/>
          <w:sz w:val="28"/>
          <w:szCs w:val="28"/>
        </w:rPr>
        <w:t>bao gồm giám định viên tư pháp, người giám định tư pháp theo vụ việc trong lĩnh vực văn hóa thuộc chuyên ngành phù hợp đã được bổ nhiệm, công bố theo quy định của pháp luật về giám định tư pháp.</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3. </w:t>
      </w:r>
      <w:r w:rsidRPr="00E70B85">
        <w:rPr>
          <w:rFonts w:ascii="Times New Roman" w:eastAsia="Times New Roman" w:hAnsi="Times New Roman" w:cs="Times New Roman"/>
          <w:i/>
          <w:iCs/>
          <w:color w:val="000000"/>
          <w:sz w:val="28"/>
          <w:szCs w:val="28"/>
        </w:rPr>
        <w:t>Tổ chức giám định tư pháp về quyền tác giả, quyền liên quan </w:t>
      </w:r>
      <w:r w:rsidRPr="00E70B85">
        <w:rPr>
          <w:rFonts w:ascii="Times New Roman" w:eastAsia="Times New Roman" w:hAnsi="Times New Roman" w:cs="Times New Roman"/>
          <w:color w:val="000000"/>
          <w:sz w:val="28"/>
          <w:szCs w:val="28"/>
        </w:rPr>
        <w:t>bao gồm Bộ Văn hóa, Thể thao và Du lịch, Sở Văn hóa, Thể thao và Du lịch, Sở Văn hóa và Thể thao các tỉnh, thành phố trực thuộc Trung ương, Văn phòng giám định tư pháp, tổ chức giám định tư pháp theo vụ việc có hoạt động chuyên môn phù hợp đã được công bố theo quy định của pháp luật về giám định tư pháp.</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8" w:name="chuong_2"/>
      <w:r w:rsidRPr="00E70B85">
        <w:rPr>
          <w:rFonts w:ascii="Times New Roman" w:eastAsia="Times New Roman" w:hAnsi="Times New Roman" w:cs="Times New Roman"/>
          <w:b/>
          <w:bCs/>
          <w:color w:val="000000"/>
          <w:sz w:val="28"/>
          <w:szCs w:val="28"/>
        </w:rPr>
        <w:t>Chương II</w:t>
      </w:r>
      <w:bookmarkEnd w:id="8"/>
    </w:p>
    <w:p w:rsidR="00E70B85" w:rsidRPr="00E70B85" w:rsidRDefault="00E70B85" w:rsidP="00E70B85">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2_name"/>
      <w:r w:rsidRPr="00E70B85">
        <w:rPr>
          <w:rFonts w:ascii="Times New Roman" w:eastAsia="Times New Roman" w:hAnsi="Times New Roman" w:cs="Times New Roman"/>
          <w:b/>
          <w:bCs/>
          <w:color w:val="000000"/>
          <w:sz w:val="28"/>
          <w:szCs w:val="28"/>
        </w:rPr>
        <w:t>QUY TRÌNH GIÁM ĐỊNH TƯ PHÁP VỀ QUYỀN TÁC GIẢ, QUYỀN LIÊN QUAN</w:t>
      </w:r>
      <w:bookmarkEnd w:id="9"/>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0" w:name="dieu_4"/>
      <w:r w:rsidRPr="00E70B85">
        <w:rPr>
          <w:rFonts w:ascii="Times New Roman" w:eastAsia="Times New Roman" w:hAnsi="Times New Roman" w:cs="Times New Roman"/>
          <w:b/>
          <w:bCs/>
          <w:color w:val="000000"/>
          <w:sz w:val="28"/>
          <w:szCs w:val="28"/>
        </w:rPr>
        <w:t>Điều 4. Tiếp nhận yêu cầu, trưng cầu giám định</w:t>
      </w:r>
      <w:bookmarkEnd w:id="10"/>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lastRenderedPageBreak/>
        <w:t>1. Người giám định tư pháp về quyền tác giả, quyền liên quan (sau đây gọi là người giám định tư pháp), tổ chức giám định tư pháp về quyền tác giả, quyền liên quan (sau đây gọi là tổ chức giám định tư pháp) tiếp nhận trưng cầu, yêu cầu giám định kèm theo đối tượng giám định và tài liệu, mẫu vật có liên quan (nếu có) để thực hiện giám định; trường hợp không đủ điều kiện giám định thì từ chối theo quy định của pháp luật về giám định tư pháp.</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2. Việc giao, nhận hồ sơ, tài liệu, đối tượng trưng cầu, yêu cầu giám định tư pháp về quyền tác giả, quyền liên quan thực hiện theo quy định tại Điều 3 Thông tư số </w:t>
      </w:r>
      <w:r>
        <w:rPr>
          <w:rFonts w:ascii="Times New Roman" w:eastAsia="Times New Roman" w:hAnsi="Times New Roman" w:cs="Times New Roman"/>
          <w:color w:val="000000"/>
          <w:sz w:val="28"/>
          <w:szCs w:val="28"/>
        </w:rPr>
        <w:t xml:space="preserve">07/2014/TT-BVHTTDL </w:t>
      </w:r>
      <w:r w:rsidRPr="00E70B85">
        <w:rPr>
          <w:rFonts w:ascii="Times New Roman" w:eastAsia="Times New Roman" w:hAnsi="Times New Roman" w:cs="Times New Roman"/>
          <w:color w:val="000000"/>
          <w:sz w:val="28"/>
          <w:szCs w:val="28"/>
        </w:rPr>
        <w:t>ngày 23 tháng 7 năm 2014 của Bộ trưởng Bộ Văn hóa, Thể thao và Du lịch quy định hồ sơ, các mẫu văn bản thực hiện giám định tư pháp; áp dụng quy chuẩn chuyên môn cho hoạt động giám định tư pháp trong lĩnh vực văn hóa; điều kiện cơ sở vật chất, trang thiết bị, phương tiện giám định của Văn phòng giám định tư pháp về di vật, cổ vật, quyền tác giả, quyền liên quan (sau đây gọi là Thông tư 07/2014/TT-BVHTTDL).</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1" w:name="dieu_5"/>
      <w:r w:rsidRPr="00E70B85">
        <w:rPr>
          <w:rFonts w:ascii="Times New Roman" w:eastAsia="Times New Roman" w:hAnsi="Times New Roman" w:cs="Times New Roman"/>
          <w:b/>
          <w:bCs/>
          <w:color w:val="000000"/>
          <w:sz w:val="28"/>
          <w:szCs w:val="28"/>
        </w:rPr>
        <w:t>Điều 5. Chuẩn bị thực hiện giám định</w:t>
      </w:r>
      <w:bookmarkEnd w:id="11"/>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1. Người giám định tư pháp, tổ chức giám định tư pháp tiến hành nghiên cứu hồ sơ trưng cầu, yêu cầu và các quy định cụ thể của pháp luật về sở hữu trí tuệ để chuẩn bị thực hiện giám định tư pháp. Trường hợp cần làm rõ thêm về nội dung trưng cầu, yêu cầu giám định, đối tượng giám định thì đề nghị người trưng cầu, yêu cầu cung cấp thêm thông tin, tài liệu có liên quan.</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2. Người giám định tư pháp có thể tự mình tiến hành lấy mẫu giám định (các hiện vật cụ thể là yếu tố xâm phạm hoặc đối tượng quyền tác giả, quyền liên quan đang được bảo hộ) hoặc đề nghị người trưng cầu, yêu cầu giám định cung cấp mẫu giám định. Việc cung cấp mẫu giám định phải được lập thành biên bản và được lưu trong hồ sơ giám định.</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Biên bản cung cấp mẫu giám định thực hiện theo Mẫu số 01 tại Phụ lục ban hành kèm theo Thông tư này.</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Trường hợp cần thiết, người giám định tư pháp tổ chức lấy kết quả xét nghiệm hoặc kết luận chuyên môn khác để đưa ra đánh giá, kết luận.</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lastRenderedPageBreak/>
        <w:t>3. Tổ chức giám định tư pháp quyết định thực hiện giám định tư pháp về quyền tác giả, quyền liên quan bằng hình thức giám định cá nhân hoặc giám định tập thể đối với những vụ việc phức tạp. Trường hợp giám định tập thể thì số lượng người tham gia giám định tư pháp phải từ 03 người trở lên, trong đó có ít nhất 01 người thuộc chuyên ngành đào tạo về Luật.</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Quyết định thực hiện giám định tư pháp về quyền tác giả, quyền liên quan thực hiện theo Mẫu số 02 tại Phụ lục ban hành kèm theo Thông tư này.</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4. Tổ chức giám định tư pháp căn cứ vào hồ sơ trưng cầu, yêu cầu giám định để lựa chọn giám định viên tư pháp, người giám định tư pháp theo vụ việc phù hợp, phân công người chịu trách nhiệm điều phối việc thực hiện giám định tư pháp.</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2" w:name="dieu_6"/>
      <w:r w:rsidRPr="00E70B85">
        <w:rPr>
          <w:rFonts w:ascii="Times New Roman" w:eastAsia="Times New Roman" w:hAnsi="Times New Roman" w:cs="Times New Roman"/>
          <w:b/>
          <w:bCs/>
          <w:color w:val="000000"/>
          <w:sz w:val="28"/>
          <w:szCs w:val="28"/>
        </w:rPr>
        <w:t>Điều 6. Thực hiện giám định</w:t>
      </w:r>
      <w:bookmarkEnd w:id="12"/>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1. Người giám định tư pháp xem xét đối tượng giám định và sử dụng kiến thức, nghiệp vụ chuyên môn để đánh giá, kết luận về những vấn đề có liên quan đến quyền tác giả, quyền liên quan theo quy định của pháp luật trên cơ sở hồ sơ trưng cầu, yêu cầu giám định. Việc xem xét giám định bao gồm một hoặc các nội dung sau đây:</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a) Xác định đối tượng quyền tác giả, quyền liên quan;</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b) Xác định yếu tố xâm phạm quyền tác giả, quyền liên quan;</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c) Xác định giá trị quyền tác giả, quyền liên quan, xác định giá trị thiệt hại;</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d) Các nội dung khác có liên quan về quyền tác giả, quyền liên quan.</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2. Người giám định tư pháp có trách nhiệm ghi nhận kịp thời, đầy đủ, trung thực toàn bộ quá trình giám định, kết quả thực hiện giám định bằng văn bản và được lưu trong hồ sơ giám định.</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Văn bản ghi nhận quá trình thực hiện giám định thực hiện theo Mẫu số 02 ban hành kèm theo Thông tư số </w:t>
      </w:r>
      <w:r>
        <w:rPr>
          <w:rFonts w:ascii="Times New Roman" w:eastAsia="Times New Roman" w:hAnsi="Times New Roman" w:cs="Times New Roman"/>
          <w:color w:val="000000"/>
          <w:sz w:val="28"/>
          <w:szCs w:val="28"/>
        </w:rPr>
        <w:t>07/2014/TT-BVHTTDL</w:t>
      </w:r>
      <w:r w:rsidRPr="00E70B85">
        <w:rPr>
          <w:rFonts w:ascii="Times New Roman" w:eastAsia="Times New Roman" w:hAnsi="Times New Roman" w:cs="Times New Roman"/>
          <w:color w:val="000000"/>
          <w:sz w:val="28"/>
          <w:szCs w:val="28"/>
        </w:rPr>
        <w:t>.</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3" w:name="dieu_7"/>
      <w:r w:rsidRPr="00E70B85">
        <w:rPr>
          <w:rFonts w:ascii="Times New Roman" w:eastAsia="Times New Roman" w:hAnsi="Times New Roman" w:cs="Times New Roman"/>
          <w:b/>
          <w:bCs/>
          <w:color w:val="000000"/>
          <w:sz w:val="28"/>
          <w:szCs w:val="28"/>
        </w:rPr>
        <w:t>Điều 7. Kết luận giám định</w:t>
      </w:r>
      <w:bookmarkEnd w:id="13"/>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lastRenderedPageBreak/>
        <w:t>Căn cứ kết quả giám định tư pháp và quy định của pháp luật về sở hữu trí tuệ, người giám định tư pháp kết luận những vấn đề có liên quan đến quyền tác giả, quyền liên quan.</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Kết luận giám định thực hiện theo Mẫu số 04a và 04b ban hành kèm theo Thông tư số </w:t>
      </w:r>
      <w:r>
        <w:rPr>
          <w:rFonts w:ascii="Times New Roman" w:eastAsia="Times New Roman" w:hAnsi="Times New Roman" w:cs="Times New Roman"/>
          <w:color w:val="000000"/>
          <w:sz w:val="28"/>
          <w:szCs w:val="28"/>
        </w:rPr>
        <w:t>07/2014/TT-BVHTTDL</w:t>
      </w:r>
      <w:r w:rsidRPr="00E70B85">
        <w:rPr>
          <w:rFonts w:ascii="Times New Roman" w:eastAsia="Times New Roman" w:hAnsi="Times New Roman" w:cs="Times New Roman"/>
          <w:color w:val="000000"/>
          <w:sz w:val="28"/>
          <w:szCs w:val="28"/>
        </w:rPr>
        <w:t>.</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4" w:name="dieu_8"/>
      <w:r w:rsidRPr="00E70B85">
        <w:rPr>
          <w:rFonts w:ascii="Times New Roman" w:eastAsia="Times New Roman" w:hAnsi="Times New Roman" w:cs="Times New Roman"/>
          <w:b/>
          <w:bCs/>
          <w:color w:val="000000"/>
          <w:sz w:val="28"/>
          <w:szCs w:val="28"/>
        </w:rPr>
        <w:t>Điều 8. Bàn giao kết luận giám định</w:t>
      </w:r>
      <w:bookmarkEnd w:id="14"/>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Khi việc thực hiện giám định tư pháp về quyền tác giả, quyền liên quan hoàn thành, người giám định tư pháp, tổ chức giám định tư pháp có trách nhiệm bàn giao kết luận giám định cho người trưng cầu, yêu cầu giám định.</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Biên bản bàn giao kết luận giám định thực hiện theo Mẫu số 05 ban hành kèm theo Thông tư số </w:t>
      </w:r>
      <w:r>
        <w:rPr>
          <w:rFonts w:ascii="Times New Roman" w:eastAsia="Times New Roman" w:hAnsi="Times New Roman" w:cs="Times New Roman"/>
          <w:color w:val="000000"/>
          <w:sz w:val="28"/>
          <w:szCs w:val="28"/>
        </w:rPr>
        <w:t>07/2014/TT-BVHTTDL</w:t>
      </w:r>
      <w:r w:rsidRPr="00E70B85">
        <w:rPr>
          <w:rFonts w:ascii="Times New Roman" w:eastAsia="Times New Roman" w:hAnsi="Times New Roman" w:cs="Times New Roman"/>
          <w:color w:val="000000"/>
          <w:sz w:val="28"/>
          <w:szCs w:val="28"/>
        </w:rPr>
        <w:t>.</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5" w:name="dieu_9"/>
      <w:r w:rsidRPr="00E70B85">
        <w:rPr>
          <w:rFonts w:ascii="Times New Roman" w:eastAsia="Times New Roman" w:hAnsi="Times New Roman" w:cs="Times New Roman"/>
          <w:b/>
          <w:bCs/>
          <w:color w:val="000000"/>
          <w:sz w:val="28"/>
          <w:szCs w:val="28"/>
        </w:rPr>
        <w:t>Điều 9. Lập hồ sơ, lưu giữ hồ sơ giám định</w:t>
      </w:r>
      <w:bookmarkEnd w:id="15"/>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Người giám định tư pháp, tổ chức giám định tư pháp có trách nhiệm lập hồ sơ giám định tư pháp về quyền tác giả, quyền liên quan theo quy định tại khoản 1 Điều 33 của Luật Giám định tư pháp và quy định tại Thông tư này.</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Việc bảo quản, lưu giữ hồ sơ giám định tư pháp thực hiện theo quy định của pháp luật về lưu trữ.</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6" w:name="chuong_3"/>
      <w:r w:rsidRPr="00E70B85">
        <w:rPr>
          <w:rFonts w:ascii="Times New Roman" w:eastAsia="Times New Roman" w:hAnsi="Times New Roman" w:cs="Times New Roman"/>
          <w:b/>
          <w:bCs/>
          <w:color w:val="000000"/>
          <w:sz w:val="28"/>
          <w:szCs w:val="28"/>
        </w:rPr>
        <w:t>Chương III</w:t>
      </w:r>
      <w:bookmarkEnd w:id="16"/>
    </w:p>
    <w:p w:rsidR="00E70B85" w:rsidRPr="00E70B85" w:rsidRDefault="00E70B85" w:rsidP="00E70B85">
      <w:pPr>
        <w:shd w:val="clear" w:color="auto" w:fill="FFFFFF"/>
        <w:spacing w:after="0" w:line="234" w:lineRule="atLeast"/>
        <w:jc w:val="center"/>
        <w:rPr>
          <w:rFonts w:ascii="Times New Roman" w:eastAsia="Times New Roman" w:hAnsi="Times New Roman" w:cs="Times New Roman"/>
          <w:color w:val="000000"/>
          <w:sz w:val="28"/>
          <w:szCs w:val="28"/>
        </w:rPr>
      </w:pPr>
      <w:bookmarkStart w:id="17" w:name="chuong_3_name"/>
      <w:r w:rsidRPr="00E70B85">
        <w:rPr>
          <w:rFonts w:ascii="Times New Roman" w:eastAsia="Times New Roman" w:hAnsi="Times New Roman" w:cs="Times New Roman"/>
          <w:b/>
          <w:bCs/>
          <w:color w:val="000000"/>
          <w:sz w:val="28"/>
          <w:szCs w:val="28"/>
        </w:rPr>
        <w:t>ĐIỀU KHOẢN THI HÀNH</w:t>
      </w:r>
      <w:bookmarkEnd w:id="17"/>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8" w:name="dieu_10"/>
      <w:r w:rsidRPr="00E70B85">
        <w:rPr>
          <w:rFonts w:ascii="Times New Roman" w:eastAsia="Times New Roman" w:hAnsi="Times New Roman" w:cs="Times New Roman"/>
          <w:b/>
          <w:bCs/>
          <w:color w:val="000000"/>
          <w:sz w:val="28"/>
          <w:szCs w:val="28"/>
        </w:rPr>
        <w:t>Điều 10. Tổ chức thực hiện</w:t>
      </w:r>
      <w:bookmarkEnd w:id="18"/>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1. Vụ Pháp chế chủ trì, phối hợp với các cơ quan, đơn vị có liên quan hướng dẫn, tổ chức kiểm tra việc thực hiện Thông tư này.</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2. Sở Văn hóa, Thể thao và Du lịch, Sở Văn hóa và Thể thao các tỉnh, thành phố trực thuộc Trung ương có trách nhiệm tổ chức triển khai thực hiện, kiểm tra, đôn đốc các cơ quan, tổ chức, cá nhân có liên quan thực hiện Thông tư này.</w:t>
      </w:r>
    </w:p>
    <w:p w:rsidR="00E70B85" w:rsidRPr="00E70B85" w:rsidRDefault="00E70B85" w:rsidP="00E70B85">
      <w:pPr>
        <w:shd w:val="clear" w:color="auto" w:fill="FFFFFF"/>
        <w:spacing w:after="0" w:line="234" w:lineRule="atLeast"/>
        <w:rPr>
          <w:rFonts w:ascii="Times New Roman" w:eastAsia="Times New Roman" w:hAnsi="Times New Roman" w:cs="Times New Roman"/>
          <w:color w:val="000000"/>
          <w:sz w:val="28"/>
          <w:szCs w:val="28"/>
        </w:rPr>
      </w:pPr>
      <w:bookmarkStart w:id="19" w:name="dieu_11"/>
      <w:r w:rsidRPr="00E70B85">
        <w:rPr>
          <w:rFonts w:ascii="Times New Roman" w:eastAsia="Times New Roman" w:hAnsi="Times New Roman" w:cs="Times New Roman"/>
          <w:b/>
          <w:bCs/>
          <w:color w:val="000000"/>
          <w:sz w:val="28"/>
          <w:szCs w:val="28"/>
        </w:rPr>
        <w:t>Điều 11. Hiệu lực thi hành</w:t>
      </w:r>
      <w:bookmarkEnd w:id="19"/>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1. Thông tư này có hiệu lực thi hành kể từ ngày 01 tháng 9 năm 2019.</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lastRenderedPageBreak/>
        <w:t>2. Trong quá trình thực hiện, nếu phát sinh vướng mắc, đề nghị các cơ quan, đơn vị, cá nhân kịp thời phản ánh về Bộ Văn hoá, Thể thao và Du lịch (qua Vụ Pháp chế) để nghiên cứu sửa đổi, bổ sung cho phù hợp./.</w:t>
      </w:r>
    </w:p>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E70B85" w:rsidRPr="00E70B85" w:rsidTr="00E70B85">
        <w:trPr>
          <w:tblCellSpacing w:w="0" w:type="dxa"/>
        </w:trPr>
        <w:tc>
          <w:tcPr>
            <w:tcW w:w="4708" w:type="dxa"/>
            <w:shd w:val="clear" w:color="auto" w:fill="FFFFFF"/>
            <w:tcMar>
              <w:top w:w="0" w:type="dxa"/>
              <w:left w:w="108" w:type="dxa"/>
              <w:bottom w:w="0" w:type="dxa"/>
              <w:right w:w="108" w:type="dxa"/>
            </w:tcMar>
            <w:hideMark/>
          </w:tcPr>
          <w:p w:rsidR="00E70B85" w:rsidRPr="00E70B85" w:rsidRDefault="00E70B85" w:rsidP="00E70B85">
            <w:pPr>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b/>
                <w:bCs/>
                <w:i/>
                <w:iCs/>
                <w:color w:val="000000"/>
                <w:sz w:val="28"/>
                <w:szCs w:val="28"/>
              </w:rPr>
              <w:br/>
              <w:t>Nơi nhận:</w:t>
            </w:r>
            <w:r w:rsidRPr="00E70B85">
              <w:rPr>
                <w:rFonts w:ascii="Times New Roman" w:eastAsia="Times New Roman" w:hAnsi="Times New Roman" w:cs="Times New Roman"/>
                <w:b/>
                <w:bCs/>
                <w:i/>
                <w:iCs/>
                <w:color w:val="000000"/>
                <w:sz w:val="28"/>
                <w:szCs w:val="28"/>
              </w:rPr>
              <w:br/>
            </w:r>
            <w:r w:rsidRPr="00E70B85">
              <w:rPr>
                <w:rFonts w:ascii="Times New Roman" w:eastAsia="Times New Roman" w:hAnsi="Times New Roman" w:cs="Times New Roman"/>
                <w:color w:val="000000"/>
                <w:sz w:val="28"/>
                <w:szCs w:val="28"/>
              </w:rPr>
              <w:t>- Thủ tướng Chính phủ;</w:t>
            </w:r>
            <w:r w:rsidRPr="00E70B85">
              <w:rPr>
                <w:rFonts w:ascii="Times New Roman" w:eastAsia="Times New Roman" w:hAnsi="Times New Roman" w:cs="Times New Roman"/>
                <w:color w:val="000000"/>
                <w:sz w:val="28"/>
                <w:szCs w:val="28"/>
              </w:rPr>
              <w:br/>
              <w:t>- Các Phó Thủ tướng Chính phủ;</w:t>
            </w:r>
            <w:r w:rsidRPr="00E70B85">
              <w:rPr>
                <w:rFonts w:ascii="Times New Roman" w:eastAsia="Times New Roman" w:hAnsi="Times New Roman" w:cs="Times New Roman"/>
                <w:color w:val="000000"/>
                <w:sz w:val="28"/>
                <w:szCs w:val="28"/>
              </w:rPr>
              <w:br/>
              <w:t>- Văn phòng Trung ương Đảng;</w:t>
            </w:r>
            <w:r w:rsidRPr="00E70B85">
              <w:rPr>
                <w:rFonts w:ascii="Times New Roman" w:eastAsia="Times New Roman" w:hAnsi="Times New Roman" w:cs="Times New Roman"/>
                <w:color w:val="000000"/>
                <w:sz w:val="28"/>
                <w:szCs w:val="28"/>
              </w:rPr>
              <w:br/>
              <w:t>- Văn phòng Chủ tịch nước;</w:t>
            </w:r>
            <w:r w:rsidRPr="00E70B85">
              <w:rPr>
                <w:rFonts w:ascii="Times New Roman" w:eastAsia="Times New Roman" w:hAnsi="Times New Roman" w:cs="Times New Roman"/>
                <w:color w:val="000000"/>
                <w:sz w:val="28"/>
                <w:szCs w:val="28"/>
              </w:rPr>
              <w:br/>
              <w:t>- Văn phòng Quốc hội;</w:t>
            </w:r>
            <w:r w:rsidRPr="00E70B85">
              <w:rPr>
                <w:rFonts w:ascii="Times New Roman" w:eastAsia="Times New Roman" w:hAnsi="Times New Roman" w:cs="Times New Roman"/>
                <w:color w:val="000000"/>
                <w:sz w:val="28"/>
                <w:szCs w:val="28"/>
              </w:rPr>
              <w:br/>
              <w:t>- Văn phòng Chính phủ;</w:t>
            </w:r>
            <w:r w:rsidRPr="00E70B85">
              <w:rPr>
                <w:rFonts w:ascii="Times New Roman" w:eastAsia="Times New Roman" w:hAnsi="Times New Roman" w:cs="Times New Roman"/>
                <w:color w:val="000000"/>
                <w:sz w:val="28"/>
                <w:szCs w:val="28"/>
              </w:rPr>
              <w:br/>
              <w:t>- Tòa án nhân dân tối cao;</w:t>
            </w:r>
            <w:r w:rsidRPr="00E70B85">
              <w:rPr>
                <w:rFonts w:ascii="Times New Roman" w:eastAsia="Times New Roman" w:hAnsi="Times New Roman" w:cs="Times New Roman"/>
                <w:color w:val="000000"/>
                <w:sz w:val="28"/>
                <w:szCs w:val="28"/>
              </w:rPr>
              <w:br/>
              <w:t>- Viện Kiểm sát nhân dân tối cao;</w:t>
            </w:r>
            <w:r w:rsidRPr="00E70B85">
              <w:rPr>
                <w:rFonts w:ascii="Times New Roman" w:eastAsia="Times New Roman" w:hAnsi="Times New Roman" w:cs="Times New Roman"/>
                <w:color w:val="000000"/>
                <w:sz w:val="28"/>
                <w:szCs w:val="28"/>
              </w:rPr>
              <w:br/>
              <w:t>- Các Bộ, cơ quan ngang Bộ, cơ quan thuộc Chính phủ;</w:t>
            </w:r>
            <w:r w:rsidRPr="00E70B85">
              <w:rPr>
                <w:rFonts w:ascii="Times New Roman" w:eastAsia="Times New Roman" w:hAnsi="Times New Roman" w:cs="Times New Roman"/>
                <w:color w:val="000000"/>
                <w:sz w:val="28"/>
                <w:szCs w:val="28"/>
              </w:rPr>
              <w:br/>
              <w:t>- HĐND, UBND các tỉnh, thành phố trực thuộc TW;</w:t>
            </w:r>
            <w:r w:rsidRPr="00E70B85">
              <w:rPr>
                <w:rFonts w:ascii="Times New Roman" w:eastAsia="Times New Roman" w:hAnsi="Times New Roman" w:cs="Times New Roman"/>
                <w:color w:val="000000"/>
                <w:sz w:val="28"/>
                <w:szCs w:val="28"/>
              </w:rPr>
              <w:br/>
              <w:t>- Ủy ban TW Mặt trận Tổ quốc Việt Nam;</w:t>
            </w:r>
            <w:r w:rsidRPr="00E70B85">
              <w:rPr>
                <w:rFonts w:ascii="Times New Roman" w:eastAsia="Times New Roman" w:hAnsi="Times New Roman" w:cs="Times New Roman"/>
                <w:color w:val="000000"/>
                <w:sz w:val="28"/>
                <w:szCs w:val="28"/>
              </w:rPr>
              <w:br/>
              <w:t>- Cơ quan trung ương của các đoàn thể;</w:t>
            </w:r>
            <w:r w:rsidRPr="00E70B85">
              <w:rPr>
                <w:rFonts w:ascii="Times New Roman" w:eastAsia="Times New Roman" w:hAnsi="Times New Roman" w:cs="Times New Roman"/>
                <w:color w:val="000000"/>
                <w:sz w:val="28"/>
                <w:szCs w:val="28"/>
              </w:rPr>
              <w:br/>
              <w:t>- Cục Kiểm tra VBQPPL-Bộ Tư pháp;</w:t>
            </w:r>
            <w:r w:rsidRPr="00E70B85">
              <w:rPr>
                <w:rFonts w:ascii="Times New Roman" w:eastAsia="Times New Roman" w:hAnsi="Times New Roman" w:cs="Times New Roman"/>
                <w:color w:val="000000"/>
                <w:sz w:val="28"/>
                <w:szCs w:val="28"/>
              </w:rPr>
              <w:br/>
              <w:t>- Bộ trưởng, các Thứ trưởng Bộ VHTTDL;</w:t>
            </w:r>
            <w:r w:rsidRPr="00E70B85">
              <w:rPr>
                <w:rFonts w:ascii="Times New Roman" w:eastAsia="Times New Roman" w:hAnsi="Times New Roman" w:cs="Times New Roman"/>
                <w:color w:val="000000"/>
                <w:sz w:val="28"/>
                <w:szCs w:val="28"/>
              </w:rPr>
              <w:br/>
              <w:t>- Các Tổng Cục, Cục, Vụ, đơn vị thuộc Bộ VHTTDL;</w:t>
            </w:r>
            <w:r w:rsidRPr="00E70B85">
              <w:rPr>
                <w:rFonts w:ascii="Times New Roman" w:eastAsia="Times New Roman" w:hAnsi="Times New Roman" w:cs="Times New Roman"/>
                <w:color w:val="000000"/>
                <w:sz w:val="28"/>
                <w:szCs w:val="28"/>
              </w:rPr>
              <w:br/>
              <w:t>- Sở VHTTDL (Sở VHTT) các tỉnh, TP trực thuộc TW;</w:t>
            </w:r>
            <w:r w:rsidRPr="00E70B85">
              <w:rPr>
                <w:rFonts w:ascii="Times New Roman" w:eastAsia="Times New Roman" w:hAnsi="Times New Roman" w:cs="Times New Roman"/>
                <w:color w:val="000000"/>
                <w:sz w:val="28"/>
                <w:szCs w:val="28"/>
              </w:rPr>
              <w:br/>
              <w:t>- Công báo; Cổng TTĐT Chính phủ; Cơ sở dữ liệu quốc gia về pháp luật;</w:t>
            </w:r>
            <w:r w:rsidRPr="00E70B85">
              <w:rPr>
                <w:rFonts w:ascii="Times New Roman" w:eastAsia="Times New Roman" w:hAnsi="Times New Roman" w:cs="Times New Roman"/>
                <w:color w:val="000000"/>
                <w:sz w:val="28"/>
                <w:szCs w:val="28"/>
              </w:rPr>
              <w:br/>
            </w:r>
            <w:r w:rsidRPr="00E70B85">
              <w:rPr>
                <w:rFonts w:ascii="Times New Roman" w:eastAsia="Times New Roman" w:hAnsi="Times New Roman" w:cs="Times New Roman"/>
                <w:color w:val="000000"/>
                <w:sz w:val="28"/>
                <w:szCs w:val="28"/>
              </w:rPr>
              <w:lastRenderedPageBreak/>
              <w:t>- Cổng TTĐT Bộ VHTTDL;</w:t>
            </w:r>
            <w:r w:rsidRPr="00E70B85">
              <w:rPr>
                <w:rFonts w:ascii="Times New Roman" w:eastAsia="Times New Roman" w:hAnsi="Times New Roman" w:cs="Times New Roman"/>
                <w:color w:val="000000"/>
                <w:sz w:val="28"/>
                <w:szCs w:val="28"/>
              </w:rPr>
              <w:br/>
              <w:t>- Lưu: VT, PC. TL 300.</w:t>
            </w:r>
          </w:p>
        </w:tc>
        <w:tc>
          <w:tcPr>
            <w:tcW w:w="4148" w:type="dxa"/>
            <w:shd w:val="clear" w:color="auto" w:fill="FFFFFF"/>
            <w:tcMar>
              <w:top w:w="0" w:type="dxa"/>
              <w:left w:w="108" w:type="dxa"/>
              <w:bottom w:w="0" w:type="dxa"/>
              <w:right w:w="108" w:type="dxa"/>
            </w:tcMar>
            <w:hideMark/>
          </w:tcPr>
          <w:p w:rsidR="00E70B85" w:rsidRPr="00E70B85" w:rsidRDefault="00E70B85" w:rsidP="00E70B85">
            <w:pPr>
              <w:spacing w:before="120" w:after="120" w:line="234" w:lineRule="atLeast"/>
              <w:jc w:val="center"/>
              <w:rPr>
                <w:rFonts w:ascii="Times New Roman" w:eastAsia="Times New Roman" w:hAnsi="Times New Roman" w:cs="Times New Roman"/>
                <w:color w:val="000000"/>
                <w:sz w:val="28"/>
                <w:szCs w:val="28"/>
              </w:rPr>
            </w:pPr>
            <w:r w:rsidRPr="00E70B85">
              <w:rPr>
                <w:rFonts w:ascii="Times New Roman" w:eastAsia="Times New Roman" w:hAnsi="Times New Roman" w:cs="Times New Roman"/>
                <w:b/>
                <w:bCs/>
                <w:color w:val="000000"/>
                <w:sz w:val="28"/>
                <w:szCs w:val="28"/>
              </w:rPr>
              <w:lastRenderedPageBreak/>
              <w:t>BỘ TRƯỞNG</w:t>
            </w:r>
            <w:r w:rsidRPr="00E70B85">
              <w:rPr>
                <w:rFonts w:ascii="Times New Roman" w:eastAsia="Times New Roman" w:hAnsi="Times New Roman" w:cs="Times New Roman"/>
                <w:b/>
                <w:bCs/>
                <w:color w:val="000000"/>
                <w:sz w:val="28"/>
                <w:szCs w:val="28"/>
              </w:rPr>
              <w:br/>
            </w:r>
            <w:r w:rsidRPr="00E70B85">
              <w:rPr>
                <w:rFonts w:ascii="Times New Roman" w:eastAsia="Times New Roman" w:hAnsi="Times New Roman" w:cs="Times New Roman"/>
                <w:b/>
                <w:bCs/>
                <w:color w:val="000000"/>
                <w:sz w:val="28"/>
                <w:szCs w:val="28"/>
              </w:rPr>
              <w:br/>
            </w:r>
            <w:r w:rsidRPr="00E70B85">
              <w:rPr>
                <w:rFonts w:ascii="Times New Roman" w:eastAsia="Times New Roman" w:hAnsi="Times New Roman" w:cs="Times New Roman"/>
                <w:b/>
                <w:bCs/>
                <w:color w:val="000000"/>
                <w:sz w:val="28"/>
                <w:szCs w:val="28"/>
              </w:rPr>
              <w:br/>
            </w:r>
            <w:r w:rsidRPr="00E70B85">
              <w:rPr>
                <w:rFonts w:ascii="Times New Roman" w:eastAsia="Times New Roman" w:hAnsi="Times New Roman" w:cs="Times New Roman"/>
                <w:b/>
                <w:bCs/>
                <w:color w:val="000000"/>
                <w:sz w:val="28"/>
                <w:szCs w:val="28"/>
              </w:rPr>
              <w:br/>
            </w:r>
            <w:r w:rsidRPr="00E70B85">
              <w:rPr>
                <w:rFonts w:ascii="Times New Roman" w:eastAsia="Times New Roman" w:hAnsi="Times New Roman" w:cs="Times New Roman"/>
                <w:color w:val="000000"/>
                <w:sz w:val="28"/>
                <w:szCs w:val="28"/>
              </w:rPr>
              <w:br/>
            </w:r>
            <w:r w:rsidRPr="00E70B85">
              <w:rPr>
                <w:rFonts w:ascii="Times New Roman" w:eastAsia="Times New Roman" w:hAnsi="Times New Roman" w:cs="Times New Roman"/>
                <w:b/>
                <w:bCs/>
                <w:color w:val="000000"/>
                <w:sz w:val="28"/>
                <w:szCs w:val="28"/>
              </w:rPr>
              <w:t>Nguyễn Ngọc Thiện</w:t>
            </w:r>
          </w:p>
        </w:tc>
      </w:tr>
    </w:tbl>
    <w:p w:rsidR="00E70B85" w:rsidRPr="00E70B85" w:rsidRDefault="00E70B85" w:rsidP="00E70B85">
      <w:pPr>
        <w:shd w:val="clear" w:color="auto" w:fill="FFFFFF"/>
        <w:spacing w:before="120" w:after="120" w:line="234" w:lineRule="atLeast"/>
        <w:rPr>
          <w:rFonts w:ascii="Times New Roman" w:eastAsia="Times New Roman" w:hAnsi="Times New Roman" w:cs="Times New Roman"/>
          <w:color w:val="000000"/>
          <w:sz w:val="28"/>
          <w:szCs w:val="28"/>
        </w:rPr>
      </w:pPr>
      <w:r w:rsidRPr="00E70B85">
        <w:rPr>
          <w:rFonts w:ascii="Times New Roman" w:eastAsia="Times New Roman" w:hAnsi="Times New Roman" w:cs="Times New Roman"/>
          <w:color w:val="000000"/>
          <w:sz w:val="28"/>
          <w:szCs w:val="28"/>
        </w:rPr>
        <w:lastRenderedPageBreak/>
        <w:t> </w:t>
      </w:r>
    </w:p>
    <w:p w:rsidR="00855FFC" w:rsidRPr="00E70B85" w:rsidRDefault="00855FFC">
      <w:pPr>
        <w:rPr>
          <w:rFonts w:ascii="Times New Roman" w:hAnsi="Times New Roman" w:cs="Times New Roman"/>
          <w:sz w:val="28"/>
          <w:szCs w:val="28"/>
        </w:rPr>
      </w:pPr>
    </w:p>
    <w:sectPr w:rsidR="00855FFC" w:rsidRPr="00E70B8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B87" w:rsidRDefault="003F3B87" w:rsidP="00E70B85">
      <w:pPr>
        <w:spacing w:after="0" w:line="240" w:lineRule="auto"/>
      </w:pPr>
      <w:r>
        <w:separator/>
      </w:r>
    </w:p>
  </w:endnote>
  <w:endnote w:type="continuationSeparator" w:id="0">
    <w:p w:rsidR="003F3B87" w:rsidRDefault="003F3B87" w:rsidP="00E7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B85" w:rsidRDefault="00E70B85">
    <w:pPr>
      <w:pStyle w:val="Footer"/>
      <w:tabs>
        <w:tab w:val="clear" w:pos="4680"/>
        <w:tab w:val="clear" w:pos="9360"/>
      </w:tabs>
      <w:jc w:val="center"/>
      <w:rPr>
        <w:caps/>
        <w:color w:val="5B9BD5" w:themeColor="accent1"/>
      </w:rPr>
    </w:pPr>
  </w:p>
  <w:p w:rsidR="00E70B85" w:rsidRDefault="00E70B85">
    <w:pPr>
      <w:pStyle w:val="Footer"/>
      <w:tabs>
        <w:tab w:val="clear" w:pos="4680"/>
        <w:tab w:val="clear" w:pos="9360"/>
      </w:tabs>
      <w:jc w:val="center"/>
      <w:rPr>
        <w:caps/>
        <w:color w:val="5B9BD5" w:themeColor="accent1"/>
      </w:rPr>
    </w:pPr>
  </w:p>
  <w:p w:rsidR="00E70B85" w:rsidRDefault="00E70B85">
    <w:pPr>
      <w:pStyle w:val="Footer"/>
      <w:tabs>
        <w:tab w:val="clear" w:pos="4680"/>
        <w:tab w:val="clear" w:pos="9360"/>
      </w:tabs>
      <w:jc w:val="center"/>
      <w:rPr>
        <w:caps/>
        <w:color w:val="5B9BD5" w:themeColor="accent1"/>
      </w:rPr>
    </w:pPr>
  </w:p>
  <w:p w:rsidR="00E70B85" w:rsidRDefault="00E70B85">
    <w:pPr>
      <w:pStyle w:val="Footer"/>
      <w:tabs>
        <w:tab w:val="clear" w:pos="4680"/>
        <w:tab w:val="clear" w:pos="9360"/>
      </w:tabs>
      <w:jc w:val="center"/>
      <w:rPr>
        <w:caps/>
        <w:color w:val="5B9BD5" w:themeColor="accent1"/>
      </w:rPr>
    </w:pPr>
  </w:p>
  <w:p w:rsidR="00E70B85" w:rsidRDefault="00E70B85">
    <w:pPr>
      <w:pStyle w:val="Footer"/>
      <w:tabs>
        <w:tab w:val="clear" w:pos="4680"/>
        <w:tab w:val="clear" w:pos="9360"/>
      </w:tabs>
      <w:jc w:val="center"/>
      <w:rPr>
        <w:caps/>
        <w:color w:val="5B9BD5" w:themeColor="accent1"/>
      </w:rPr>
    </w:pPr>
  </w:p>
  <w:p w:rsidR="00E70B85" w:rsidRDefault="00E70B85">
    <w:pPr>
      <w:pStyle w:val="Footer"/>
      <w:tabs>
        <w:tab w:val="clear" w:pos="4680"/>
        <w:tab w:val="clear" w:pos="9360"/>
      </w:tabs>
      <w:jc w:val="center"/>
      <w:rPr>
        <w:caps/>
        <w:color w:val="5B9BD5" w:themeColor="accent1"/>
      </w:rPr>
    </w:pPr>
  </w:p>
  <w:p w:rsidR="00E70B85" w:rsidRDefault="00E70B85">
    <w:pPr>
      <w:pStyle w:val="Footer"/>
      <w:tabs>
        <w:tab w:val="clear" w:pos="4680"/>
        <w:tab w:val="clear" w:pos="9360"/>
      </w:tabs>
      <w:jc w:val="center"/>
      <w:rPr>
        <w:caps/>
        <w:color w:val="5B9BD5" w:themeColor="accent1"/>
      </w:rPr>
    </w:pPr>
  </w:p>
  <w:p w:rsidR="00E70B85" w:rsidRDefault="00E70B85" w:rsidP="00E70B85">
    <w:pPr>
      <w:pStyle w:val="Header"/>
      <w:jc w:val="center"/>
      <w:rPr>
        <w:rFonts w:ascii="Times New Roman" w:hAnsi="Times New Roman" w:cs="Times New Roman"/>
        <w:b/>
        <w:color w:val="0070C0"/>
      </w:rPr>
    </w:pPr>
    <w:r>
      <w:rPr>
        <w:rFonts w:ascii="Times New Roman" w:hAnsi="Times New Roman" w:cs="Times New Roman"/>
        <w:b/>
        <w:color w:val="0070C0"/>
      </w:rPr>
      <w:t>Công ty Luật TNHH Sao Việt</w:t>
    </w:r>
  </w:p>
  <w:p w:rsidR="00E70B85" w:rsidRDefault="00E70B85" w:rsidP="00E70B85">
    <w:pPr>
      <w:pStyle w:val="Header"/>
      <w:jc w:val="center"/>
      <w:rPr>
        <w:rFonts w:ascii="Times New Roman" w:hAnsi="Times New Roman" w:cs="Times New Roman"/>
        <w:i/>
        <w:color w:val="0070C0"/>
      </w:rPr>
    </w:pPr>
    <w:r>
      <w:rPr>
        <w:rFonts w:ascii="Times New Roman" w:hAnsi="Times New Roman" w:cs="Times New Roman"/>
        <w:i/>
        <w:color w:val="0070C0"/>
      </w:rPr>
      <w:t>“Sự bảo hộ hoàn hảo trong mọi quan hệ pháp luật”</w:t>
    </w:r>
  </w:p>
  <w:p w:rsidR="00E70B85" w:rsidRDefault="00E70B85" w:rsidP="00E70B85">
    <w:pPr>
      <w:pStyle w:val="Header"/>
      <w:jc w:val="center"/>
      <w:rPr>
        <w:rFonts w:ascii="Times New Roman" w:hAnsi="Times New Roman" w:cs="Times New Roman"/>
        <w:color w:val="FF0000"/>
      </w:rPr>
    </w:pPr>
    <w:r>
      <w:rPr>
        <w:rFonts w:ascii="Times New Roman" w:hAnsi="Times New Roman" w:cs="Times New Roman"/>
        <w:color w:val="FF0000"/>
      </w:rPr>
      <w:t>Web: saovietlaw.com/ Tổng đài 1900 6243</w:t>
    </w:r>
  </w:p>
  <w:p w:rsidR="00E70B85" w:rsidRDefault="00E70B85" w:rsidP="00E70B85">
    <w:pPr>
      <w:pStyle w:val="Header"/>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E70B85" w:rsidRDefault="00E70B8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15164">
      <w:rPr>
        <w:caps/>
        <w:noProof/>
        <w:color w:val="5B9BD5" w:themeColor="accent1"/>
      </w:rPr>
      <w:t>2</w:t>
    </w:r>
    <w:r>
      <w:rPr>
        <w:caps/>
        <w:noProof/>
        <w:color w:val="5B9BD5" w:themeColor="accent1"/>
      </w:rPr>
      <w:fldChar w:fldCharType="end"/>
    </w:r>
  </w:p>
  <w:p w:rsidR="00E70B85" w:rsidRDefault="00E70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B87" w:rsidRDefault="003F3B87" w:rsidP="00E70B85">
      <w:pPr>
        <w:spacing w:after="0" w:line="240" w:lineRule="auto"/>
      </w:pPr>
      <w:r>
        <w:separator/>
      </w:r>
    </w:p>
  </w:footnote>
  <w:footnote w:type="continuationSeparator" w:id="0">
    <w:p w:rsidR="003F3B87" w:rsidRDefault="003F3B87" w:rsidP="00E70B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85"/>
    <w:rsid w:val="003F3B87"/>
    <w:rsid w:val="00855FFC"/>
    <w:rsid w:val="00915164"/>
    <w:rsid w:val="00E7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03CF16-2774-4E73-8704-3D53512C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B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0B85"/>
    <w:rPr>
      <w:color w:val="0000FF"/>
      <w:u w:val="single"/>
    </w:rPr>
  </w:style>
  <w:style w:type="paragraph" w:styleId="Header">
    <w:name w:val="header"/>
    <w:basedOn w:val="Normal"/>
    <w:link w:val="HeaderChar"/>
    <w:uiPriority w:val="99"/>
    <w:unhideWhenUsed/>
    <w:rsid w:val="00E70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B85"/>
  </w:style>
  <w:style w:type="paragraph" w:styleId="Footer">
    <w:name w:val="footer"/>
    <w:basedOn w:val="Normal"/>
    <w:link w:val="FooterChar"/>
    <w:uiPriority w:val="99"/>
    <w:unhideWhenUsed/>
    <w:rsid w:val="00E70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618738">
      <w:bodyDiv w:val="1"/>
      <w:marLeft w:val="0"/>
      <w:marRight w:val="0"/>
      <w:marTop w:val="0"/>
      <w:marBottom w:val="0"/>
      <w:divBdr>
        <w:top w:val="none" w:sz="0" w:space="0" w:color="auto"/>
        <w:left w:val="none" w:sz="0" w:space="0" w:color="auto"/>
        <w:bottom w:val="none" w:sz="0" w:space="0" w:color="auto"/>
        <w:right w:val="none" w:sz="0" w:space="0" w:color="auto"/>
      </w:divBdr>
    </w:div>
    <w:div w:id="924261154">
      <w:bodyDiv w:val="1"/>
      <w:marLeft w:val="0"/>
      <w:marRight w:val="0"/>
      <w:marTop w:val="0"/>
      <w:marBottom w:val="0"/>
      <w:divBdr>
        <w:top w:val="none" w:sz="0" w:space="0" w:color="auto"/>
        <w:left w:val="none" w:sz="0" w:space="0" w:color="auto"/>
        <w:bottom w:val="none" w:sz="0" w:space="0" w:color="auto"/>
        <w:right w:val="none" w:sz="0" w:space="0" w:color="auto"/>
      </w:divBdr>
    </w:div>
    <w:div w:id="17548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2019-07-26T02:06:00Z</dcterms:created>
  <dcterms:modified xsi:type="dcterms:W3CDTF">2019-07-26T02:06:00Z</dcterms:modified>
</cp:coreProperties>
</file>